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管理单位名单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2"/>
          <w:sz w:val="28"/>
          <w:szCs w:val="22"/>
          <w:lang w:val="en-US" w:eastAsia="zh-CN" w:bidi="ar-SA"/>
        </w:rPr>
      </w:pPr>
    </w:p>
    <w:tbl>
      <w:tblPr>
        <w:tblStyle w:val="6"/>
        <w:tblW w:w="81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D7D7D7" w:themeFill="background1" w:themeFillShade="D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931" w:type="dxa"/>
            <w:shd w:val="clear" w:color="auto" w:fill="D7D7D7" w:themeFill="background1" w:themeFillShade="D8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清华大学深圳国际研究生院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鹏城实验室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深圳市慢性病防治中心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深圳市康宁医院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深圳北理莫斯科大学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深圳顺络电子股份有限公司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深圳航天科技创新研究院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深圳市仙湖植物园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北京大学深圳研究生院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华润三九医药股份有限公司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深圳光启高等理工研究院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深圳北京大学香港科技大学医学中心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深圳市海斯比海洋科技股份有限公司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中国科学院深圳理工大学（筹）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深圳华中科技大学研究院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深圳清华大学研究院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深圳市新星轻合金材料股份有限公司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中国医学科学院阜外医院深圳医院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深圳市坤健创新药物研究院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深圳先进技术研究院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中山大学附属第七医院（深圳）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海能达通信股份有限公司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深圳市宏商材料科技股份有限公司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比亚迪汽车工业有限公司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深圳创维数字技术有限公司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深圳富泰宏精密工业有限公司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深圳市唯特偶新材料股份有限公司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比亚迪半导体股份有限公司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高新兴物联科技有限公司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深圳晶泰科技有限公司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深圳市创益科技发展有限公司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深圳市豪威显示科技有限公司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深圳湾实验室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深圳创维-RGB电子有限公司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深圳霁因生物医药转化研究院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深圳市广和通无线股份有限公司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深圳市汇川技术股份有限公司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深圳市罗湖区人民医院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深圳市亚辉龙生物科技股份有限公司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深圳市振华微电子有限公司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中国农业科学院深圳农业基因组研究所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敦泰科技（深圳）有限公司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深圳爱湾医学检验实验室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深圳飞世尔新材料股份有限公司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深圳华大北斗科技股份有限公司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深圳诺普信农化股份有限公司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深圳市惠程信息科技股份有限公司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深信服科技股份有限公司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深圳市万普拉斯科技有限公司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深圳市迅特通信技术股份有限公司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深圳市易尚展示股份有限公司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深圳市裕富照明有限公司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深圳市圆梦精密技术研究院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深圳市洲明科技股份有限公司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深圳芯邦科技股份有限公司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深圳中山泌尿外科医院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香港城市大学深圳研究院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69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香港科技大学深圳研究院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TY4ODFmYmU0NjRkYjcwNjM3NjhmNDNlNDViYjMifQ=="/>
  </w:docVars>
  <w:rsids>
    <w:rsidRoot w:val="00000000"/>
    <w:rsid w:val="0BE33EB9"/>
    <w:rsid w:val="465B1E89"/>
    <w:rsid w:val="506568B4"/>
    <w:rsid w:val="5FC37F28"/>
    <w:rsid w:val="6C7762D8"/>
    <w:rsid w:val="7836F9DA"/>
    <w:rsid w:val="790A6CDB"/>
    <w:rsid w:val="7FD56628"/>
    <w:rsid w:val="C57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eastAsia="仿宋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999</Words>
  <Characters>1075</Characters>
  <Lines>0</Lines>
  <Paragraphs>0</Paragraphs>
  <TotalTime>1</TotalTime>
  <ScaleCrop>false</ScaleCrop>
  <LinksUpToDate>false</LinksUpToDate>
  <CharactersWithSpaces>1075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2022-09-14T10:26:00Z</dcterms:created>
  <dc:creator>SUPER</dc:creator>
  <cp:lastModifiedBy>罗云辉</cp:lastModifiedBy>
  <dcterms:modified xsi:type="dcterms:W3CDTF">2022-09-15T09:36:04Z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E5DEE441CFC542B292F44914EF248A72</vt:lpwstr>
  </property>
</Properties>
</file>